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78ED9" w14:textId="77777777" w:rsidR="00A222E0" w:rsidRPr="005F2AC0" w:rsidRDefault="00A222E0" w:rsidP="005F2AC0">
      <w:pPr>
        <w:spacing w:after="0" w:line="240" w:lineRule="auto"/>
        <w:rPr>
          <w:b/>
        </w:rPr>
      </w:pPr>
      <w:r w:rsidRPr="005F2AC0">
        <w:rPr>
          <w:b/>
        </w:rPr>
        <w:t>6</w:t>
      </w:r>
      <w:r w:rsidR="005F2AC0" w:rsidRPr="005F2AC0">
        <w:rPr>
          <w:b/>
        </w:rPr>
        <w:t xml:space="preserve"> Controle</w:t>
      </w:r>
    </w:p>
    <w:p w14:paraId="59B012F1" w14:textId="77777777" w:rsidR="00A222E0" w:rsidRDefault="00A222E0" w:rsidP="005F2AC0">
      <w:pPr>
        <w:spacing w:after="0" w:line="240" w:lineRule="auto"/>
      </w:pPr>
      <w:r>
        <w:t>Uitgangspunt voor alle controles is de eis, dat alle controles geschieden door personen, die geen binding hebben (gehad) met het object van controle. Controles dienen objectief, onafhankelijk en deskundig te worden uitgevoerd. Het bestuur ziet daarop toe. In het geval, dat een coördinator agrarisch natuurbeheer of controlefunctionaris ook contractueel deelnemer is, stelt het bestuur vast wie de controles uitvoert. Het bestuur neemt daarbij de hiervoor omschreven eis in acht.</w:t>
      </w:r>
    </w:p>
    <w:p w14:paraId="52D387E8" w14:textId="77777777" w:rsidR="005F2AC0" w:rsidRDefault="005F2AC0" w:rsidP="005F2AC0">
      <w:pPr>
        <w:spacing w:after="0" w:line="240" w:lineRule="auto"/>
      </w:pPr>
    </w:p>
    <w:p w14:paraId="1811BFC0" w14:textId="77777777" w:rsidR="00A222E0" w:rsidRPr="005F2AC0" w:rsidRDefault="00A222E0" w:rsidP="005F2AC0">
      <w:pPr>
        <w:spacing w:after="0" w:line="240" w:lineRule="auto"/>
        <w:rPr>
          <w:b/>
        </w:rPr>
      </w:pPr>
      <w:r w:rsidRPr="005F2AC0">
        <w:rPr>
          <w:b/>
        </w:rPr>
        <w:t xml:space="preserve">6.1 </w:t>
      </w:r>
      <w:r w:rsidR="005F2AC0" w:rsidRPr="005F2AC0">
        <w:rPr>
          <w:b/>
        </w:rPr>
        <w:t>Schouw/monitoring</w:t>
      </w:r>
    </w:p>
    <w:p w14:paraId="7BF5F4E0" w14:textId="77777777" w:rsidR="00A222E0" w:rsidRDefault="00A222E0" w:rsidP="005F2AC0">
      <w:pPr>
        <w:spacing w:after="0" w:line="240" w:lineRule="auto"/>
      </w:pPr>
      <w:r>
        <w:t xml:space="preserve">Uitvoeren van veldcontroles/monitoring </w:t>
      </w:r>
      <w:r w:rsidR="001A62BC">
        <w:t xml:space="preserve">is noodzakelijk </w:t>
      </w:r>
      <w:r>
        <w:t>om de naleving van de voorwaarden te controleren en daarbij - zo nodig – op te treden tegen in gebreke blijvende deelnemers aan de achterdeur. Daarnaast kan de schouw/monitoring ook helpen het beheer bij te sturen om zo het gewenste resultaat te behalen.</w:t>
      </w:r>
    </w:p>
    <w:p w14:paraId="25C02432" w14:textId="77777777" w:rsidR="005F2AC0" w:rsidRDefault="005F2AC0" w:rsidP="005F2AC0">
      <w:pPr>
        <w:spacing w:after="0" w:line="240" w:lineRule="auto"/>
      </w:pPr>
    </w:p>
    <w:p w14:paraId="57395E84" w14:textId="77777777" w:rsidR="00A222E0" w:rsidRDefault="00A222E0" w:rsidP="005F2AC0">
      <w:pPr>
        <w:spacing w:after="0" w:line="240" w:lineRule="auto"/>
      </w:pPr>
      <w:r>
        <w:t>Wie is binnen het collectief verantwoordelijk voor de schouw?</w:t>
      </w:r>
      <w:r w:rsidR="001F3188">
        <w:t xml:space="preserve"> D</w:t>
      </w:r>
      <w:r w:rsidR="001A62BC">
        <w:t xml:space="preserve">e bestuurder met het aandachtgebied beheermonitoring is verantwoordelijk </w:t>
      </w:r>
      <w:r w:rsidR="001F3188">
        <w:t>schouw.</w:t>
      </w:r>
    </w:p>
    <w:p w14:paraId="4EEBCB50" w14:textId="77777777" w:rsidR="001F3188" w:rsidRDefault="001F3188" w:rsidP="005F2AC0">
      <w:pPr>
        <w:spacing w:after="0" w:line="240" w:lineRule="auto"/>
      </w:pPr>
      <w:r>
        <w:t>De werkwijze van de schouw is als volgt</w:t>
      </w:r>
    </w:p>
    <w:p w14:paraId="46E3A257" w14:textId="77777777" w:rsidR="00A222E0" w:rsidRDefault="00A222E0" w:rsidP="005F2AC0">
      <w:pPr>
        <w:spacing w:after="0" w:line="240" w:lineRule="auto"/>
      </w:pPr>
      <w:r>
        <w:t>1.</w:t>
      </w:r>
      <w:r>
        <w:tab/>
        <w:t xml:space="preserve">De veldbezoeken voor monitoring van de weidevogelpakketten worden afgelegd door D-Natuur. D-Natuur </w:t>
      </w:r>
      <w:r w:rsidR="005F2AC0">
        <w:tab/>
      </w:r>
      <w:r>
        <w:t xml:space="preserve">heeft samen met het bestuur van VANLb RGW vastgelegd welke gebieden </w:t>
      </w:r>
      <w:r w:rsidR="005F2AC0">
        <w:t>gemonitord</w:t>
      </w:r>
      <w:r>
        <w:t xml:space="preserve"> worden. VANLb RGW </w:t>
      </w:r>
      <w:r w:rsidR="005F2AC0">
        <w:tab/>
      </w:r>
      <w:r>
        <w:t xml:space="preserve">werkt met resultaatbeloning. Zodra nesten worden gemeld gaan onafhankelijke controleurs de gemelde </w:t>
      </w:r>
      <w:r w:rsidR="005F2AC0">
        <w:tab/>
      </w:r>
      <w:r>
        <w:t>legsel</w:t>
      </w:r>
      <w:r w:rsidR="005F2AC0">
        <w:t>s controleren</w:t>
      </w:r>
      <w:r>
        <w:t>.</w:t>
      </w:r>
    </w:p>
    <w:p w14:paraId="25D7BB20" w14:textId="77777777" w:rsidR="00A222E0" w:rsidRDefault="00A222E0" w:rsidP="005F2AC0">
      <w:pPr>
        <w:spacing w:after="0" w:line="240" w:lineRule="auto"/>
      </w:pPr>
      <w:r>
        <w:t>2.</w:t>
      </w:r>
      <w:r>
        <w:tab/>
        <w:t xml:space="preserve">Bij de blauwe diensten wordt als volgt geschouwd: Meldingen baggerspuiten of slootschonen komen binnen </w:t>
      </w:r>
      <w:r w:rsidR="005F2AC0">
        <w:tab/>
      </w:r>
      <w:r>
        <w:t xml:space="preserve">bij de coördinatoren agrarisch natuurbeheer. De verantwoordelijk bestuurder Water ontvangt een selectie </w:t>
      </w:r>
      <w:r w:rsidR="005F2AC0">
        <w:tab/>
      </w:r>
      <w:r>
        <w:t xml:space="preserve">van 5 a 10% die hij gaat controleren, rekening houdend met de besproken criteria. De procedure hiervoor </w:t>
      </w:r>
      <w:r w:rsidR="005F2AC0">
        <w:tab/>
      </w:r>
      <w:r>
        <w:t>wordt bij bestuursbesluit vastgesteld.</w:t>
      </w:r>
    </w:p>
    <w:p w14:paraId="60327418" w14:textId="77777777" w:rsidR="005F2AC0" w:rsidRDefault="005F2AC0" w:rsidP="005F2AC0">
      <w:pPr>
        <w:spacing w:after="0" w:line="240" w:lineRule="auto"/>
      </w:pPr>
      <w:r>
        <w:t>3.</w:t>
      </w:r>
      <w:r>
        <w:tab/>
        <w:t xml:space="preserve">De landschappelijke elementen worden ook steekproefsgewijs door de bestuurder Water gecontroleerd. </w:t>
      </w:r>
    </w:p>
    <w:p w14:paraId="0A9CA2C6" w14:textId="77777777" w:rsidR="005F2AC0" w:rsidRDefault="005F2AC0" w:rsidP="005F2AC0">
      <w:pPr>
        <w:spacing w:after="0" w:line="240" w:lineRule="auto"/>
      </w:pPr>
    </w:p>
    <w:p w14:paraId="361D488B" w14:textId="77777777" w:rsidR="00A222E0" w:rsidRDefault="00A222E0" w:rsidP="005F2AC0">
      <w:pPr>
        <w:spacing w:after="0" w:line="240" w:lineRule="auto"/>
      </w:pPr>
      <w:r>
        <w:t>Schouwformulier</w:t>
      </w:r>
    </w:p>
    <w:p w14:paraId="1C74C255" w14:textId="77777777" w:rsidR="00A222E0" w:rsidRDefault="00A222E0" w:rsidP="005F2AC0">
      <w:pPr>
        <w:spacing w:after="0" w:line="240" w:lineRule="auto"/>
      </w:pPr>
      <w:r>
        <w:t>De basis voor de rapportage Watermonitoring</w:t>
      </w:r>
      <w:r w:rsidR="005F2AC0">
        <w:t>/onderhoud landschappelijke elementen</w:t>
      </w:r>
      <w:r>
        <w:t xml:space="preserve"> is een schouwformulier waarop de bevindingen worden vastgelegd. Dit formulier bevat de gegevens van de beheerder en welke beheereisen en –voorschriften van toepassing zijn of herstel nodig is, of dat de controle-eenheid niet voldoet. Na de schouw wordt het formulier ondertekend en digitaal gearchiveerd bij de deelnemer.</w:t>
      </w:r>
    </w:p>
    <w:p w14:paraId="464FF572" w14:textId="77777777" w:rsidR="005F2AC0" w:rsidRDefault="005F2AC0" w:rsidP="005F2AC0">
      <w:pPr>
        <w:spacing w:after="0" w:line="240" w:lineRule="auto"/>
      </w:pPr>
    </w:p>
    <w:p w14:paraId="0487E398" w14:textId="77777777" w:rsidR="00A222E0" w:rsidRDefault="00A222E0" w:rsidP="005F2AC0">
      <w:pPr>
        <w:spacing w:after="0" w:line="240" w:lineRule="auto"/>
      </w:pPr>
      <w:r>
        <w:t>Invoeren in de administratie</w:t>
      </w:r>
    </w:p>
    <w:p w14:paraId="6C32F524" w14:textId="77777777" w:rsidR="00A222E0" w:rsidRDefault="00A222E0" w:rsidP="005F2AC0">
      <w:pPr>
        <w:spacing w:after="0" w:line="240" w:lineRule="auto"/>
      </w:pPr>
      <w:r>
        <w:t xml:space="preserve">Wij volgen een praktische werkwijze: de formulieren digitaal opslaan en volgend seizoen deelnemers evt. raadplegen. </w:t>
      </w:r>
    </w:p>
    <w:p w14:paraId="79F34562" w14:textId="77777777" w:rsidR="005F2AC0" w:rsidRDefault="005F2AC0" w:rsidP="005F2AC0">
      <w:pPr>
        <w:spacing w:after="0" w:line="240" w:lineRule="auto"/>
      </w:pPr>
    </w:p>
    <w:p w14:paraId="04B9C29B" w14:textId="77777777" w:rsidR="00A222E0" w:rsidRDefault="00A222E0" w:rsidP="005F2AC0">
      <w:pPr>
        <w:spacing w:after="0" w:line="240" w:lineRule="auto"/>
      </w:pPr>
      <w:r>
        <w:t>Rapportage Schouw</w:t>
      </w:r>
    </w:p>
    <w:p w14:paraId="656B6D7A" w14:textId="77777777" w:rsidR="00A222E0" w:rsidRDefault="00A222E0" w:rsidP="005F2AC0">
      <w:pPr>
        <w:spacing w:after="0" w:line="240" w:lineRule="auto"/>
      </w:pPr>
      <w:r>
        <w:t>Zie boven.</w:t>
      </w:r>
    </w:p>
    <w:p w14:paraId="6553D1DC" w14:textId="77777777" w:rsidR="005F2AC0" w:rsidRDefault="005F2AC0" w:rsidP="005F2AC0">
      <w:pPr>
        <w:spacing w:after="0" w:line="240" w:lineRule="auto"/>
      </w:pPr>
    </w:p>
    <w:p w14:paraId="5BA6DE61" w14:textId="77777777" w:rsidR="00A222E0" w:rsidRDefault="00A222E0" w:rsidP="005F2AC0">
      <w:pPr>
        <w:spacing w:after="0" w:line="240" w:lineRule="auto"/>
      </w:pPr>
      <w:r>
        <w:t>Onjuistheden</w:t>
      </w:r>
    </w:p>
    <w:p w14:paraId="2BAE19F0" w14:textId="77777777" w:rsidR="00A222E0" w:rsidRDefault="00A222E0" w:rsidP="005F2AC0">
      <w:pPr>
        <w:spacing w:after="0" w:line="240" w:lineRule="auto"/>
      </w:pPr>
      <w:r>
        <w:t>Wanneer de schouwcommissie afwijkingen heeft gesignaleerd wordt dit door middel van de rapportage gecommuniceerd met de deelnemer en treedt het herstel- en sanctieprotocol in werking.</w:t>
      </w:r>
    </w:p>
    <w:p w14:paraId="5125D8D7" w14:textId="77777777" w:rsidR="005F2AC0" w:rsidRDefault="005F2AC0" w:rsidP="005F2AC0">
      <w:pPr>
        <w:spacing w:after="0" w:line="240" w:lineRule="auto"/>
      </w:pPr>
    </w:p>
    <w:p w14:paraId="33FC82FA" w14:textId="77777777" w:rsidR="00A222E0" w:rsidRPr="005F2AC0" w:rsidRDefault="00A222E0" w:rsidP="005F2AC0">
      <w:pPr>
        <w:spacing w:after="0" w:line="240" w:lineRule="auto"/>
        <w:rPr>
          <w:b/>
        </w:rPr>
      </w:pPr>
      <w:r w:rsidRPr="005F2AC0">
        <w:rPr>
          <w:b/>
        </w:rPr>
        <w:t xml:space="preserve">6.2 </w:t>
      </w:r>
      <w:r w:rsidR="005F2AC0" w:rsidRPr="005F2AC0">
        <w:rPr>
          <w:b/>
        </w:rPr>
        <w:t>Sanctie – of herstelbeleid van het collectief</w:t>
      </w:r>
    </w:p>
    <w:p w14:paraId="7939869C" w14:textId="77777777" w:rsidR="00A222E0" w:rsidRDefault="00A222E0" w:rsidP="005F2AC0">
      <w:pPr>
        <w:spacing w:after="0" w:line="240" w:lineRule="auto"/>
      </w:pPr>
      <w:r>
        <w:t>Wie is verantwoordelijk voor uitvoering van het sanctie- of herstelbeleid?</w:t>
      </w:r>
    </w:p>
    <w:p w14:paraId="2EEE0E0D" w14:textId="77777777" w:rsidR="00A222E0" w:rsidRDefault="00A222E0" w:rsidP="005F2AC0">
      <w:pPr>
        <w:spacing w:after="0" w:line="240" w:lineRule="auto"/>
      </w:pPr>
      <w:r>
        <w:t>Het gehele bestuur beslist over sancties op basis van een advies van de monitordeskundige. Daarmee borgt het collectief dat sancties niet door één persoon kunnen worden opgelegd, maar er altijd meer bestuurders zijn betrokken. De bestuurder die verantwoordelijk is voor de veldcontrole, bereidt samen met de coördinator agrarisch natuurbeheer de sanctie- en herstelmaatregelen voor.</w:t>
      </w:r>
    </w:p>
    <w:p w14:paraId="7D9DDA77" w14:textId="77777777" w:rsidR="00FC2027" w:rsidRDefault="00FC2027" w:rsidP="005F2AC0">
      <w:pPr>
        <w:spacing w:after="0" w:line="240" w:lineRule="auto"/>
      </w:pPr>
    </w:p>
    <w:p w14:paraId="2BD30DF4" w14:textId="77777777" w:rsidR="00FC2027" w:rsidRDefault="00FC2027" w:rsidP="005F2AC0">
      <w:pPr>
        <w:spacing w:after="0" w:line="240" w:lineRule="auto"/>
      </w:pPr>
    </w:p>
    <w:p w14:paraId="5F142E30" w14:textId="77777777" w:rsidR="00A222E0" w:rsidRDefault="00A222E0" w:rsidP="005F2AC0">
      <w:pPr>
        <w:spacing w:after="0" w:line="240" w:lineRule="auto"/>
      </w:pPr>
      <w:r>
        <w:lastRenderedPageBreak/>
        <w:t>Welke sa</w:t>
      </w:r>
      <w:r w:rsidR="00FC2027">
        <w:t>ncties kunnen worden toegepast?</w:t>
      </w:r>
    </w:p>
    <w:p w14:paraId="243CDAD4" w14:textId="77777777" w:rsidR="00A222E0" w:rsidRDefault="00A222E0" w:rsidP="005F2AC0">
      <w:pPr>
        <w:spacing w:after="0" w:line="240" w:lineRule="auto"/>
      </w:pPr>
      <w:r>
        <w:t>Een sanctie is de maatregel die het collectief neemt ten opzichte van de deelnemer die in gebreke is gebleven. De maatregelen die het collectief tot haar beschikking heeft zijn:</w:t>
      </w:r>
    </w:p>
    <w:p w14:paraId="4DA3C65D" w14:textId="77777777" w:rsidR="00A222E0" w:rsidRDefault="00A222E0" w:rsidP="005F2AC0">
      <w:pPr>
        <w:spacing w:after="0" w:line="240" w:lineRule="auto"/>
      </w:pPr>
      <w:r>
        <w:t>-</w:t>
      </w:r>
      <w:r>
        <w:tab/>
        <w:t>Waarschuwing</w:t>
      </w:r>
      <w:r w:rsidR="00FC2027">
        <w:t>:</w:t>
      </w:r>
      <w:r>
        <w:tab/>
      </w:r>
      <w:r w:rsidR="00FC2027">
        <w:t>i</w:t>
      </w:r>
      <w:r>
        <w:t xml:space="preserve">ndien een herstelbare afwijking wordt geconstateerd krijgt de deelnemer een waarschuwing </w:t>
      </w:r>
      <w:r w:rsidR="00FC2027">
        <w:tab/>
        <w:t>en de mogelijkheid tot herstel</w:t>
      </w:r>
      <w:r>
        <w:t>.</w:t>
      </w:r>
    </w:p>
    <w:p w14:paraId="1EFDC557" w14:textId="77777777" w:rsidR="00A222E0" w:rsidRDefault="00A222E0" w:rsidP="005F2AC0">
      <w:pPr>
        <w:spacing w:after="0" w:line="240" w:lineRule="auto"/>
      </w:pPr>
      <w:r>
        <w:t>-</w:t>
      </w:r>
      <w:r>
        <w:tab/>
      </w:r>
      <w:r w:rsidR="00FC2027">
        <w:t>H</w:t>
      </w:r>
      <w:r>
        <w:t>et opschorten van be</w:t>
      </w:r>
      <w:r w:rsidR="00FC2027">
        <w:t>talingen tot uitvoeren herstel: d</w:t>
      </w:r>
      <w:r>
        <w:t xml:space="preserve">e vergoeding voor het beheer dat niet/nog niet is </w:t>
      </w:r>
      <w:r w:rsidR="00FC2027">
        <w:tab/>
      </w:r>
      <w:r>
        <w:t>uitgevoerd wordt door het collectief niet betaald zolang er geen herstel heeft plaatsgevonden.</w:t>
      </w:r>
    </w:p>
    <w:p w14:paraId="08884F22" w14:textId="77777777" w:rsidR="00A222E0" w:rsidRDefault="00A222E0" w:rsidP="005F2AC0">
      <w:pPr>
        <w:spacing w:after="0" w:line="240" w:lineRule="auto"/>
      </w:pPr>
      <w:r>
        <w:t>-</w:t>
      </w:r>
      <w:r>
        <w:tab/>
      </w:r>
      <w:r w:rsidR="00FC2027">
        <w:t>H</w:t>
      </w:r>
      <w:r>
        <w:t>et niet uitvoeren van betaling bij niet ui</w:t>
      </w:r>
      <w:r w:rsidR="00FC2027">
        <w:t>tvoeren maatregel in beheerjaar: w</w:t>
      </w:r>
      <w:r>
        <w:t xml:space="preserve">anneer een deelnemer in een </w:t>
      </w:r>
      <w:r w:rsidR="00FC2027">
        <w:tab/>
      </w:r>
      <w:r>
        <w:t xml:space="preserve">beheerjaar het beheer niet heeft uitgevoerd dan heeft hij voor het betreffende beheerjaar voor de </w:t>
      </w:r>
      <w:r w:rsidR="00FC2027">
        <w:tab/>
      </w:r>
      <w:r>
        <w:t>betreffende beheereenheid geen recht op een vergoeding.</w:t>
      </w:r>
    </w:p>
    <w:p w14:paraId="70508B7D" w14:textId="77777777" w:rsidR="00A222E0" w:rsidRDefault="00A222E0" w:rsidP="005F2AC0">
      <w:pPr>
        <w:spacing w:after="0" w:line="240" w:lineRule="auto"/>
      </w:pPr>
      <w:r>
        <w:t>-</w:t>
      </w:r>
      <w:r>
        <w:tab/>
      </w:r>
      <w:r w:rsidR="00FC2027">
        <w:t>H</w:t>
      </w:r>
      <w:r>
        <w:t>et opleggen van een boete</w:t>
      </w:r>
      <w:r w:rsidR="00FC2027">
        <w:t>: n</w:t>
      </w:r>
      <w:r>
        <w:t xml:space="preserve">a het constateren van een overtreding, bijvoorbeeld als er geen herstel </w:t>
      </w:r>
      <w:r w:rsidR="00FC2027">
        <w:tab/>
      </w:r>
      <w:r>
        <w:t xml:space="preserve">mogelijk is en/of onherstelbare schade is toegebracht, krijgt de deelnemer voor de betreffende </w:t>
      </w:r>
      <w:r w:rsidR="00FC2027">
        <w:tab/>
      </w:r>
      <w:r>
        <w:t>beheereenheid geen vergoeding en een boete ter hoogte van [30%] van de betreffende beheervergoeding.</w:t>
      </w:r>
    </w:p>
    <w:p w14:paraId="5D0426D4" w14:textId="77777777" w:rsidR="00A222E0" w:rsidRDefault="00A222E0" w:rsidP="005F2AC0">
      <w:pPr>
        <w:spacing w:after="0" w:line="240" w:lineRule="auto"/>
      </w:pPr>
      <w:r>
        <w:t>-</w:t>
      </w:r>
      <w:r w:rsidR="00FC2027">
        <w:tab/>
        <w:t>Het ontbinden van het contract: b</w:t>
      </w:r>
      <w:r>
        <w:t>ij herhaling van overtredingen wordt het contract ontbonden</w:t>
      </w:r>
    </w:p>
    <w:p w14:paraId="03528CEE" w14:textId="77777777" w:rsidR="00A222E0" w:rsidRDefault="00A222E0" w:rsidP="005F2AC0">
      <w:pPr>
        <w:spacing w:after="0" w:line="240" w:lineRule="auto"/>
      </w:pPr>
    </w:p>
    <w:p w14:paraId="10F527E2" w14:textId="77777777" w:rsidR="00A222E0" w:rsidRDefault="00A222E0" w:rsidP="005F2AC0">
      <w:pPr>
        <w:spacing w:after="0" w:line="240" w:lineRule="auto"/>
      </w:pPr>
      <w:r>
        <w:t>Hoe wordt bepaald welk type sanctiemaatregel wordt toegepast?</w:t>
      </w:r>
    </w:p>
    <w:p w14:paraId="2807BD08" w14:textId="77777777" w:rsidR="00A222E0" w:rsidRDefault="00A222E0" w:rsidP="005F2AC0">
      <w:pPr>
        <w:spacing w:after="0" w:line="240" w:lineRule="auto"/>
      </w:pPr>
      <w:r>
        <w:t>In de schouwprocedure is aangegeven dat de controleur een conclusie trekt over het al dan niet voldoen van een beheereenheid aan de pakketvoorwaarden. Bij een geconstateerde afwijking wordt eerst gekeken naar de mogelijkheid tot herstel. Indien de eenheid bij controle niet voldoet bestaan er 3 mogelijkheden die mede afhankelijk zijn van het afgesloten beheerpakket:</w:t>
      </w:r>
    </w:p>
    <w:p w14:paraId="4BEBA1AA" w14:textId="77777777" w:rsidR="00A222E0" w:rsidRDefault="00A222E0" w:rsidP="005F2AC0">
      <w:pPr>
        <w:spacing w:after="0" w:line="240" w:lineRule="auto"/>
      </w:pPr>
      <w:r>
        <w:t>1.</w:t>
      </w:r>
      <w:r>
        <w:tab/>
        <w:t xml:space="preserve">Er is een mogelijkheid tot herstel op korte termijn, deze termijn is afhankelijk van het pakket en </w:t>
      </w:r>
      <w:r w:rsidR="00FC2027">
        <w:tab/>
      </w:r>
      <w:r>
        <w:t>schouwmoment</w:t>
      </w:r>
    </w:p>
    <w:p w14:paraId="29A5D4B8" w14:textId="77777777" w:rsidR="00A222E0" w:rsidRDefault="00A222E0" w:rsidP="005F2AC0">
      <w:pPr>
        <w:spacing w:after="0" w:line="240" w:lineRule="auto"/>
      </w:pPr>
      <w:r>
        <w:t>2.</w:t>
      </w:r>
      <w:r>
        <w:tab/>
        <w:t xml:space="preserve">Er is een mogelijkheid tot herstel buiten het lopende beheerjaar </w:t>
      </w:r>
    </w:p>
    <w:p w14:paraId="59DE6824" w14:textId="77777777" w:rsidR="00A222E0" w:rsidRDefault="00A222E0" w:rsidP="005F2AC0">
      <w:pPr>
        <w:spacing w:after="0" w:line="240" w:lineRule="auto"/>
      </w:pPr>
      <w:r>
        <w:t>3.</w:t>
      </w:r>
      <w:r>
        <w:tab/>
        <w:t>Er is geen mogelijkheid tot herstel of er is zelfs schade toegebracht aan de biodiversiteit</w:t>
      </w:r>
    </w:p>
    <w:p w14:paraId="444E09FD" w14:textId="77777777" w:rsidR="00FC2027" w:rsidRDefault="00FC2027" w:rsidP="005F2AC0">
      <w:pPr>
        <w:spacing w:after="0" w:line="240" w:lineRule="auto"/>
      </w:pPr>
    </w:p>
    <w:p w14:paraId="00E211BF" w14:textId="77777777" w:rsidR="00A222E0" w:rsidRDefault="00A222E0" w:rsidP="005F2AC0">
      <w:pPr>
        <w:spacing w:after="0" w:line="240" w:lineRule="auto"/>
      </w:pPr>
      <w:r>
        <w:t>In de gevallen 1 en 2 treedt het herstelprotocol in werking. Als herstel niet mogelijk is dan treedt het sanctieprotocol in werking. In geval van 3 treedt direct het sanctieprotocol in werking.</w:t>
      </w:r>
    </w:p>
    <w:p w14:paraId="7BCF6FE6" w14:textId="77777777" w:rsidR="00A222E0" w:rsidRDefault="00A222E0" w:rsidP="005F2AC0">
      <w:pPr>
        <w:spacing w:after="0" w:line="240" w:lineRule="auto"/>
      </w:pPr>
    </w:p>
    <w:p w14:paraId="6004CE81" w14:textId="77777777" w:rsidR="00A222E0" w:rsidRDefault="00FC2027" w:rsidP="005F2AC0">
      <w:pPr>
        <w:spacing w:after="0" w:line="240" w:lineRule="auto"/>
      </w:pPr>
      <w:r>
        <w:t>Herstelprotocol (</w:t>
      </w:r>
      <w:r w:rsidR="00A222E0">
        <w:t>Hoe wordt bepaald of herstelmaatregelen kunnen worden toegepast?)</w:t>
      </w:r>
    </w:p>
    <w:p w14:paraId="33730B4C" w14:textId="77777777" w:rsidR="00A222E0" w:rsidRDefault="00A222E0" w:rsidP="005F2AC0">
      <w:pPr>
        <w:spacing w:after="0" w:line="240" w:lineRule="auto"/>
      </w:pPr>
      <w:r>
        <w:t>Indien er een mogelijkheid is tot herstel, krijgt de deelnemer hiertoe de mogelijkheid. Dit kan door de gecontracteerde beheereenheid te herstellen zodat alsnog aan de pakketvoorwaarden wordt voldaan.</w:t>
      </w:r>
    </w:p>
    <w:p w14:paraId="5F8533AE" w14:textId="77777777" w:rsidR="00A222E0" w:rsidRDefault="00A222E0" w:rsidP="005F2AC0">
      <w:pPr>
        <w:spacing w:after="0" w:line="240" w:lineRule="auto"/>
      </w:pPr>
      <w:r>
        <w:t>De eerste herstelmogelijkheid bestaat binnen het lopende beheerjaar binnen een vaste termijn. Dit kan binnen de gecontracteerde beheereenheid (bijvoorbeeld waterpeil Plas-Dras verhogen binnen 1 week) alsook door dezelfde doelstelling op een naburig perceel (van dezelfde deelnemer) te realiseren (bijv. rustperiode weidevogels per direct op ander perceel) indien dit past binnen het beheerplan van het collectief.</w:t>
      </w:r>
    </w:p>
    <w:p w14:paraId="141C8895" w14:textId="77777777" w:rsidR="00A222E0" w:rsidRDefault="00A222E0" w:rsidP="005F2AC0">
      <w:pPr>
        <w:spacing w:after="0" w:line="240" w:lineRule="auto"/>
      </w:pPr>
      <w:r>
        <w:t>De tweede mogelijkheid tot herstel ligt buiten het lopende beheerjaar en dient op de gecontracteerde beheereenheid plaats te vinden indien dit nog steeds past binnen het beheerplan van het collectief. Bijvoorbeeld een onvoldoende brede akkerrand wordt in het volgend beheerjaar verbreed.</w:t>
      </w:r>
    </w:p>
    <w:p w14:paraId="25B084F6" w14:textId="77777777" w:rsidR="00A222E0" w:rsidRDefault="00A222E0" w:rsidP="005F2AC0">
      <w:pPr>
        <w:spacing w:after="0" w:line="240" w:lineRule="auto"/>
      </w:pPr>
    </w:p>
    <w:p w14:paraId="7FE99A1E" w14:textId="77777777" w:rsidR="00A222E0" w:rsidRDefault="00A222E0" w:rsidP="005F2AC0">
      <w:pPr>
        <w:spacing w:after="0" w:line="240" w:lineRule="auto"/>
      </w:pPr>
      <w:r>
        <w:t>Meldplicht deelnemer</w:t>
      </w:r>
    </w:p>
    <w:p w14:paraId="3FCA7F6A" w14:textId="77777777" w:rsidR="00A222E0" w:rsidRDefault="00A222E0" w:rsidP="005F2AC0">
      <w:pPr>
        <w:spacing w:after="0" w:line="240" w:lineRule="auto"/>
      </w:pPr>
      <w:r>
        <w:t>Wanneer herstel is uitgevoerd heeft de deelnemer een meldplicht aan het collectief. Indien de melding niet binnen de afgesproken termijn wordt gedaan treedt alsnog het sanctieprotocol in werking.</w:t>
      </w:r>
      <w:r w:rsidR="0043496C">
        <w:t xml:space="preserve"> </w:t>
      </w:r>
      <w:r>
        <w:t xml:space="preserve">Een optie is dat het collectief pas akkoord gaat met herstel na een (volledige) </w:t>
      </w:r>
      <w:proofErr w:type="spellStart"/>
      <w:r>
        <w:t>herschouw</w:t>
      </w:r>
      <w:proofErr w:type="spellEnd"/>
      <w:r>
        <w:t xml:space="preserve"> van herstelde beheereenheden. Dit vraagt om een extra handeling, maar geeft wel meer zekerheid.</w:t>
      </w:r>
    </w:p>
    <w:p w14:paraId="5686CB91" w14:textId="77777777" w:rsidR="00A222E0" w:rsidRDefault="00A222E0" w:rsidP="005F2AC0">
      <w:pPr>
        <w:spacing w:after="0" w:line="240" w:lineRule="auto"/>
      </w:pPr>
    </w:p>
    <w:p w14:paraId="0C3C4D26" w14:textId="77777777" w:rsidR="00A222E0" w:rsidRDefault="00A222E0" w:rsidP="005F2AC0">
      <w:pPr>
        <w:spacing w:after="0" w:line="240" w:lineRule="auto"/>
      </w:pPr>
      <w:r>
        <w:t>Hoe wordt bepaald of herstelmaatregelen kunnen worden toegepast?</w:t>
      </w:r>
    </w:p>
    <w:p w14:paraId="00686B9F" w14:textId="77777777" w:rsidR="00A222E0" w:rsidRDefault="00A222E0" w:rsidP="005F2AC0">
      <w:pPr>
        <w:spacing w:after="0" w:line="240" w:lineRule="auto"/>
      </w:pPr>
      <w:r>
        <w:t>Dit sanctieprotocol treedt in werking wanneer afspraken onherstelbaar niet zijn nagekomen, of dat herstel pas mogelijk is buiten het lopend beheerjaar. Wanneer de deelnemer bezwaar maakt tegen deze sancties treedt het protocol ‘geschillenprocedure’ in werking.</w:t>
      </w:r>
    </w:p>
    <w:p w14:paraId="40F56ACF" w14:textId="77777777" w:rsidR="00A222E0" w:rsidRDefault="00A222E0" w:rsidP="005F2AC0">
      <w:pPr>
        <w:spacing w:after="0" w:line="240" w:lineRule="auto"/>
      </w:pPr>
    </w:p>
    <w:p w14:paraId="4247257C" w14:textId="77777777" w:rsidR="00A222E0" w:rsidRDefault="00A222E0" w:rsidP="005F2AC0">
      <w:pPr>
        <w:spacing w:after="0" w:line="240" w:lineRule="auto"/>
      </w:pPr>
      <w:bookmarkStart w:id="0" w:name="_GoBack"/>
      <w:bookmarkEnd w:id="0"/>
      <w:r>
        <w:lastRenderedPageBreak/>
        <w:t>Verslaglegging</w:t>
      </w:r>
    </w:p>
    <w:p w14:paraId="3E75E655" w14:textId="77777777" w:rsidR="00A222E0" w:rsidRDefault="00A222E0" w:rsidP="005F2AC0">
      <w:pPr>
        <w:spacing w:after="0" w:line="240" w:lineRule="auto"/>
      </w:pPr>
      <w:r>
        <w:t>Alle besluiten moeten schriftelijk kenbaar gemaakt worden, voorzien van een motivatie. We leggen vast:</w:t>
      </w:r>
    </w:p>
    <w:p w14:paraId="4C120E04" w14:textId="77777777" w:rsidR="00A222E0" w:rsidRDefault="00A222E0" w:rsidP="005F2AC0">
      <w:pPr>
        <w:spacing w:after="0" w:line="240" w:lineRule="auto"/>
      </w:pPr>
      <w:r>
        <w:t>a)</w:t>
      </w:r>
      <w:r>
        <w:tab/>
        <w:t xml:space="preserve">Welke overtreding is geconstateerd (verwijs naar de afspraken/ beheereisen) </w:t>
      </w:r>
    </w:p>
    <w:p w14:paraId="6BB07FB3" w14:textId="77777777" w:rsidR="00A222E0" w:rsidRDefault="00A222E0" w:rsidP="005F2AC0">
      <w:pPr>
        <w:spacing w:after="0" w:line="240" w:lineRule="auto"/>
      </w:pPr>
      <w:r>
        <w:t>b)</w:t>
      </w:r>
      <w:r>
        <w:tab/>
        <w:t>Wat de hersteltermijn is</w:t>
      </w:r>
    </w:p>
    <w:p w14:paraId="6D1FE478" w14:textId="77777777" w:rsidR="00A222E0" w:rsidRDefault="00A222E0" w:rsidP="005F2AC0">
      <w:pPr>
        <w:spacing w:after="0" w:line="240" w:lineRule="auto"/>
      </w:pPr>
      <w:r>
        <w:t>c)</w:t>
      </w:r>
      <w:r>
        <w:tab/>
        <w:t>Wat het gevolg is van wel of niet handelen n.a.v. de constatering</w:t>
      </w:r>
    </w:p>
    <w:p w14:paraId="7B8CC5E7" w14:textId="77777777" w:rsidR="0043496C" w:rsidRPr="0043496C" w:rsidRDefault="0043496C" w:rsidP="005F2AC0">
      <w:pPr>
        <w:spacing w:after="0" w:line="240" w:lineRule="auto"/>
        <w:rPr>
          <w:b/>
        </w:rPr>
      </w:pPr>
    </w:p>
    <w:p w14:paraId="629127ED" w14:textId="77777777" w:rsidR="00A222E0" w:rsidRPr="0043496C" w:rsidRDefault="00A222E0" w:rsidP="0043496C">
      <w:pPr>
        <w:spacing w:after="0" w:line="240" w:lineRule="auto"/>
        <w:rPr>
          <w:b/>
        </w:rPr>
      </w:pPr>
      <w:r w:rsidRPr="0043496C">
        <w:rPr>
          <w:b/>
        </w:rPr>
        <w:t xml:space="preserve">6.3 </w:t>
      </w:r>
      <w:r w:rsidR="0043496C" w:rsidRPr="0043496C">
        <w:rPr>
          <w:b/>
        </w:rPr>
        <w:t>Controles NVWA</w:t>
      </w:r>
    </w:p>
    <w:p w14:paraId="75B5966C" w14:textId="77777777" w:rsidR="00A222E0" w:rsidRDefault="00A222E0" w:rsidP="0043496C">
      <w:pPr>
        <w:spacing w:after="0" w:line="240" w:lineRule="auto"/>
      </w:pPr>
      <w:r>
        <w:t>Hoe koppelt het collectief de resultaten uit de NVWA controles terug aan de deelnemers?</w:t>
      </w:r>
    </w:p>
    <w:p w14:paraId="52589994" w14:textId="77777777" w:rsidR="00A222E0" w:rsidRDefault="00A222E0" w:rsidP="0043496C">
      <w:pPr>
        <w:spacing w:after="0" w:line="240" w:lineRule="auto"/>
      </w:pPr>
      <w:r>
        <w:t xml:space="preserve">De sanctiemaatregel door NVWA wordt naast een schriftelijke bevestiging altijd [telefonisch/persoonlijk] toegelicht aan de deelnemer. De bestuurder belast met het beheer is verantwoordelijk voor de communicatie met deelnemers. Hoewel een deelnemer een onvolkomenheid wellicht al heeft vernomen via de NVWA stuurt het collectief (GC) eveneens de deelnemer bij in de juiste uitvoering van het beheer. </w:t>
      </w:r>
    </w:p>
    <w:p w14:paraId="2C08B5C8" w14:textId="77777777" w:rsidR="0043496C" w:rsidRDefault="0043496C" w:rsidP="0043496C">
      <w:pPr>
        <w:spacing w:after="0" w:line="240" w:lineRule="auto"/>
      </w:pPr>
    </w:p>
    <w:p w14:paraId="65328C86" w14:textId="77777777" w:rsidR="00A222E0" w:rsidRDefault="00A222E0" w:rsidP="0043496C">
      <w:pPr>
        <w:spacing w:after="0" w:line="240" w:lineRule="auto"/>
      </w:pPr>
      <w:r>
        <w:t>Hoe communiceren het collectief en de Provincie over (gevolgen van) bevindingen?</w:t>
      </w:r>
    </w:p>
    <w:p w14:paraId="5F45ECD6" w14:textId="77777777" w:rsidR="00A222E0" w:rsidRDefault="00A222E0" w:rsidP="0043496C">
      <w:pPr>
        <w:spacing w:after="0" w:line="240" w:lineRule="auto"/>
      </w:pPr>
      <w:r>
        <w:t>De controles vormen een vast agendapunt in het overleg met de Provincie</w:t>
      </w:r>
    </w:p>
    <w:p w14:paraId="189BA6C2" w14:textId="77777777" w:rsidR="0043496C" w:rsidRDefault="0043496C" w:rsidP="0043496C">
      <w:pPr>
        <w:spacing w:after="0" w:line="240" w:lineRule="auto"/>
      </w:pPr>
    </w:p>
    <w:p w14:paraId="2659323A" w14:textId="77777777" w:rsidR="00A222E0" w:rsidRDefault="00A222E0" w:rsidP="0043496C">
      <w:pPr>
        <w:spacing w:after="0" w:line="240" w:lineRule="auto"/>
      </w:pPr>
      <w:r>
        <w:t>Hoe verwerkt het collectief de kortingen die het Betaalorgaan oplegt?</w:t>
      </w:r>
    </w:p>
    <w:p w14:paraId="46E89511" w14:textId="77777777" w:rsidR="00A222E0" w:rsidRDefault="00A222E0" w:rsidP="0043496C">
      <w:pPr>
        <w:spacing w:after="0" w:line="240" w:lineRule="auto"/>
      </w:pPr>
      <w:r>
        <w:t>In het Scan office systeem worden de kortingen vastgelegd. Indien mogelijk worden de kortingen verhaald op de betrokken deelnemers</w:t>
      </w:r>
    </w:p>
    <w:p w14:paraId="63AB7747" w14:textId="77777777" w:rsidR="0043496C" w:rsidRDefault="0043496C" w:rsidP="0043496C">
      <w:pPr>
        <w:spacing w:after="0" w:line="240" w:lineRule="auto"/>
      </w:pPr>
    </w:p>
    <w:p w14:paraId="440BD149" w14:textId="77777777" w:rsidR="00A222E0" w:rsidRDefault="00A222E0" w:rsidP="0043496C">
      <w:pPr>
        <w:spacing w:after="0" w:line="240" w:lineRule="auto"/>
      </w:pPr>
      <w:r>
        <w:t>Hoe wordt gehandeld in geval van een sanctie voor cross-compliance?</w:t>
      </w:r>
    </w:p>
    <w:p w14:paraId="6025EB01" w14:textId="35845778" w:rsidR="002561D0" w:rsidRPr="002561D0" w:rsidRDefault="00A222E0" w:rsidP="00A34590">
      <w:pPr>
        <w:spacing w:after="0" w:line="240" w:lineRule="auto"/>
        <w:rPr>
          <w:rFonts w:ascii="Arial" w:eastAsia="Times New Roman" w:hAnsi="Arial" w:cs="Arial"/>
          <w:color w:val="222222"/>
          <w:sz w:val="24"/>
          <w:szCs w:val="24"/>
          <w:lang w:eastAsia="nl-NL"/>
        </w:rPr>
      </w:pPr>
      <w:r>
        <w:t>De sanctie wordt 100% doorberekend aan de deelnemende agrariër. Het collectief hanteert de werkwijze uit ‘geschil collectief en NVWA’.</w:t>
      </w:r>
      <w:r w:rsidR="0043496C">
        <w:t xml:space="preserve"> </w:t>
      </w:r>
      <w:r>
        <w:t>Wanneer RVO.nl laat weten een randvoorwaardekorting op te leggen bij één van de ANLb-deelnemers, blijkt dat deze randvoorwaardekorting moet worden doorberekend, ook wanneer de boete wegvalt in de fictieve rekenruimte.</w:t>
      </w:r>
      <w:r w:rsidR="002561D0" w:rsidRPr="002561D0">
        <w:rPr>
          <w:rFonts w:ascii="Arial" w:eastAsia="Times New Roman" w:hAnsi="Arial" w:cs="Arial"/>
          <w:color w:val="222222"/>
          <w:sz w:val="24"/>
          <w:szCs w:val="24"/>
          <w:lang w:eastAsia="nl-NL"/>
        </w:rPr>
        <w:br/>
      </w:r>
    </w:p>
    <w:p w14:paraId="29B581F9" w14:textId="77777777" w:rsidR="002561D0" w:rsidRPr="002561D0" w:rsidRDefault="002561D0" w:rsidP="002561D0">
      <w:pPr>
        <w:shd w:val="clear" w:color="auto" w:fill="FFFFFF"/>
        <w:spacing w:after="240" w:line="240" w:lineRule="auto"/>
        <w:rPr>
          <w:rFonts w:ascii="Arial" w:eastAsia="Times New Roman" w:hAnsi="Arial" w:cs="Arial"/>
          <w:color w:val="222222"/>
          <w:sz w:val="24"/>
          <w:szCs w:val="24"/>
          <w:lang w:eastAsia="nl-NL"/>
        </w:rPr>
      </w:pPr>
    </w:p>
    <w:p w14:paraId="3347E38E" w14:textId="77777777" w:rsidR="006611C5" w:rsidRDefault="006611C5" w:rsidP="00A222E0">
      <w:pPr>
        <w:rPr>
          <w:b/>
        </w:rPr>
      </w:pPr>
    </w:p>
    <w:p w14:paraId="67F19DF8" w14:textId="77777777" w:rsidR="006611C5" w:rsidRDefault="006611C5" w:rsidP="00A222E0">
      <w:pPr>
        <w:rPr>
          <w:b/>
        </w:rPr>
      </w:pPr>
    </w:p>
    <w:p w14:paraId="3B4615B3" w14:textId="77777777" w:rsidR="006611C5" w:rsidRDefault="006611C5" w:rsidP="00A222E0">
      <w:pPr>
        <w:rPr>
          <w:b/>
        </w:rPr>
      </w:pPr>
    </w:p>
    <w:p w14:paraId="0ABB4F5E" w14:textId="77777777" w:rsidR="006611C5" w:rsidRDefault="006611C5" w:rsidP="00A222E0">
      <w:pPr>
        <w:rPr>
          <w:b/>
        </w:rPr>
      </w:pPr>
    </w:p>
    <w:p w14:paraId="4EE08CBC" w14:textId="77777777" w:rsidR="006611C5" w:rsidRDefault="006611C5" w:rsidP="00A222E0">
      <w:pPr>
        <w:rPr>
          <w:b/>
        </w:rPr>
      </w:pPr>
    </w:p>
    <w:p w14:paraId="1783DBFF" w14:textId="77777777" w:rsidR="006611C5" w:rsidRDefault="006611C5" w:rsidP="00A222E0">
      <w:pPr>
        <w:rPr>
          <w:b/>
        </w:rPr>
      </w:pPr>
    </w:p>
    <w:p w14:paraId="5368BC1A" w14:textId="77777777" w:rsidR="00A222E0" w:rsidRDefault="00A222E0" w:rsidP="00A222E0">
      <w:r>
        <w:t> </w:t>
      </w:r>
    </w:p>
    <w:p w14:paraId="74051CF7" w14:textId="77777777" w:rsidR="00A222E0" w:rsidRDefault="00A222E0" w:rsidP="00A222E0"/>
    <w:sectPr w:rsidR="00A222E0" w:rsidSect="00EB4A33">
      <w:footerReference w:type="default" r:id="rId9"/>
      <w:pgSz w:w="11906" w:h="16838" w:code="9"/>
      <w:pgMar w:top="1418" w:right="709" w:bottom="1758"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17E1A" w14:textId="77777777" w:rsidR="00733FB6" w:rsidRDefault="00733FB6" w:rsidP="00B3355E">
      <w:pPr>
        <w:spacing w:after="0" w:line="240" w:lineRule="auto"/>
      </w:pPr>
      <w:r>
        <w:separator/>
      </w:r>
    </w:p>
  </w:endnote>
  <w:endnote w:type="continuationSeparator" w:id="0">
    <w:p w14:paraId="3B917CE4" w14:textId="77777777" w:rsidR="00733FB6" w:rsidRDefault="00733FB6" w:rsidP="00B33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88224"/>
      <w:docPartObj>
        <w:docPartGallery w:val="Page Numbers (Bottom of Page)"/>
        <w:docPartUnique/>
      </w:docPartObj>
    </w:sdtPr>
    <w:sdtEndPr/>
    <w:sdtContent>
      <w:p w14:paraId="0BB27850" w14:textId="77777777" w:rsidR="009B2A48" w:rsidRDefault="009B2A48">
        <w:pPr>
          <w:pStyle w:val="Voettekst"/>
        </w:pPr>
        <w:r>
          <w:fldChar w:fldCharType="begin"/>
        </w:r>
        <w:r>
          <w:instrText>PAGE   \* MERGEFORMAT</w:instrText>
        </w:r>
        <w:r>
          <w:fldChar w:fldCharType="separate"/>
        </w:r>
        <w:r w:rsidR="00A34590">
          <w:rPr>
            <w:noProof/>
          </w:rPr>
          <w:t>2</w:t>
        </w:r>
        <w:r>
          <w:fldChar w:fldCharType="end"/>
        </w:r>
      </w:p>
    </w:sdtContent>
  </w:sdt>
  <w:p w14:paraId="58BE4A8F" w14:textId="77777777" w:rsidR="009B2A48" w:rsidRDefault="009B2A4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86F39" w14:textId="77777777" w:rsidR="00733FB6" w:rsidRDefault="00733FB6" w:rsidP="00B3355E">
      <w:pPr>
        <w:spacing w:after="0" w:line="240" w:lineRule="auto"/>
      </w:pPr>
      <w:r>
        <w:separator/>
      </w:r>
    </w:p>
  </w:footnote>
  <w:footnote w:type="continuationSeparator" w:id="0">
    <w:p w14:paraId="764FB15C" w14:textId="77777777" w:rsidR="00733FB6" w:rsidRDefault="00733FB6" w:rsidP="00B335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5326C"/>
    <w:multiLevelType w:val="hybridMultilevel"/>
    <w:tmpl w:val="1054CD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F4B53AD"/>
    <w:multiLevelType w:val="hybridMultilevel"/>
    <w:tmpl w:val="C5F03B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F6845B1"/>
    <w:multiLevelType w:val="hybridMultilevel"/>
    <w:tmpl w:val="AA0AC4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485735C"/>
    <w:multiLevelType w:val="hybridMultilevel"/>
    <w:tmpl w:val="DC9E18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CC2769C"/>
    <w:multiLevelType w:val="hybridMultilevel"/>
    <w:tmpl w:val="2BD60330"/>
    <w:lvl w:ilvl="0" w:tplc="7B80564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401683A"/>
    <w:multiLevelType w:val="hybridMultilevel"/>
    <w:tmpl w:val="A08C8B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8607273"/>
    <w:multiLevelType w:val="hybridMultilevel"/>
    <w:tmpl w:val="97FAF9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AE17D66"/>
    <w:multiLevelType w:val="hybridMultilevel"/>
    <w:tmpl w:val="21DC41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4849598D"/>
    <w:multiLevelType w:val="hybridMultilevel"/>
    <w:tmpl w:val="32BA9612"/>
    <w:lvl w:ilvl="0" w:tplc="5734EC56">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AFC5FDB"/>
    <w:multiLevelType w:val="hybridMultilevel"/>
    <w:tmpl w:val="40D461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11E3D2F"/>
    <w:multiLevelType w:val="hybridMultilevel"/>
    <w:tmpl w:val="28824D40"/>
    <w:lvl w:ilvl="0" w:tplc="7028340C">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3896C64"/>
    <w:multiLevelType w:val="hybridMultilevel"/>
    <w:tmpl w:val="27A660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CE42DFF"/>
    <w:multiLevelType w:val="hybridMultilevel"/>
    <w:tmpl w:val="5E6A8B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78E4184F"/>
    <w:multiLevelType w:val="hybridMultilevel"/>
    <w:tmpl w:val="207EF81C"/>
    <w:lvl w:ilvl="0" w:tplc="3DA8A94A">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3"/>
  </w:num>
  <w:num w:numId="4">
    <w:abstractNumId w:val="11"/>
  </w:num>
  <w:num w:numId="5">
    <w:abstractNumId w:val="10"/>
  </w:num>
  <w:num w:numId="6">
    <w:abstractNumId w:val="1"/>
  </w:num>
  <w:num w:numId="7">
    <w:abstractNumId w:val="4"/>
  </w:num>
  <w:num w:numId="8">
    <w:abstractNumId w:val="8"/>
  </w:num>
  <w:num w:numId="9">
    <w:abstractNumId w:val="5"/>
  </w:num>
  <w:num w:numId="10">
    <w:abstractNumId w:val="9"/>
  </w:num>
  <w:num w:numId="11">
    <w:abstractNumId w:val="0"/>
  </w:num>
  <w:num w:numId="12">
    <w:abstractNumId w:val="12"/>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8EF"/>
    <w:rsid w:val="00007416"/>
    <w:rsid w:val="0001008B"/>
    <w:rsid w:val="000437BA"/>
    <w:rsid w:val="00075D8A"/>
    <w:rsid w:val="000B7C55"/>
    <w:rsid w:val="000E2C0A"/>
    <w:rsid w:val="00147365"/>
    <w:rsid w:val="0017580A"/>
    <w:rsid w:val="001967BD"/>
    <w:rsid w:val="001A62BC"/>
    <w:rsid w:val="001F3188"/>
    <w:rsid w:val="002561D0"/>
    <w:rsid w:val="00283555"/>
    <w:rsid w:val="002C7039"/>
    <w:rsid w:val="002E5BC2"/>
    <w:rsid w:val="00303CA3"/>
    <w:rsid w:val="00357963"/>
    <w:rsid w:val="003777FA"/>
    <w:rsid w:val="0041511D"/>
    <w:rsid w:val="004335CC"/>
    <w:rsid w:val="0043496C"/>
    <w:rsid w:val="00437250"/>
    <w:rsid w:val="00460FB0"/>
    <w:rsid w:val="004E1641"/>
    <w:rsid w:val="004E6B6B"/>
    <w:rsid w:val="00503565"/>
    <w:rsid w:val="00512871"/>
    <w:rsid w:val="00553230"/>
    <w:rsid w:val="005710A3"/>
    <w:rsid w:val="005B43A5"/>
    <w:rsid w:val="005F2AC0"/>
    <w:rsid w:val="005F703E"/>
    <w:rsid w:val="006056CB"/>
    <w:rsid w:val="00634012"/>
    <w:rsid w:val="006611C5"/>
    <w:rsid w:val="00691599"/>
    <w:rsid w:val="006A4DD5"/>
    <w:rsid w:val="006A72E0"/>
    <w:rsid w:val="00703AA4"/>
    <w:rsid w:val="00711852"/>
    <w:rsid w:val="00733FB6"/>
    <w:rsid w:val="007A4E38"/>
    <w:rsid w:val="007C32F6"/>
    <w:rsid w:val="008111D1"/>
    <w:rsid w:val="00814AE4"/>
    <w:rsid w:val="00857A3C"/>
    <w:rsid w:val="00867E48"/>
    <w:rsid w:val="008C4B3E"/>
    <w:rsid w:val="008D1CFD"/>
    <w:rsid w:val="008F08EF"/>
    <w:rsid w:val="00925861"/>
    <w:rsid w:val="009401A9"/>
    <w:rsid w:val="009566DB"/>
    <w:rsid w:val="00974723"/>
    <w:rsid w:val="009A23F2"/>
    <w:rsid w:val="009B2A48"/>
    <w:rsid w:val="009E5AB6"/>
    <w:rsid w:val="00A07D5A"/>
    <w:rsid w:val="00A222E0"/>
    <w:rsid w:val="00A34590"/>
    <w:rsid w:val="00A66FD0"/>
    <w:rsid w:val="00A75632"/>
    <w:rsid w:val="00A914E8"/>
    <w:rsid w:val="00AD6B5C"/>
    <w:rsid w:val="00B22B9A"/>
    <w:rsid w:val="00B3355E"/>
    <w:rsid w:val="00B56FDF"/>
    <w:rsid w:val="00B61FB5"/>
    <w:rsid w:val="00BD535B"/>
    <w:rsid w:val="00BF23B1"/>
    <w:rsid w:val="00C02050"/>
    <w:rsid w:val="00C05A49"/>
    <w:rsid w:val="00C73E1E"/>
    <w:rsid w:val="00C93B7C"/>
    <w:rsid w:val="00CA05A4"/>
    <w:rsid w:val="00CF0268"/>
    <w:rsid w:val="00CF2180"/>
    <w:rsid w:val="00CF2A3D"/>
    <w:rsid w:val="00CF5BFE"/>
    <w:rsid w:val="00D50A2B"/>
    <w:rsid w:val="00D647A0"/>
    <w:rsid w:val="00D77E22"/>
    <w:rsid w:val="00D926C3"/>
    <w:rsid w:val="00DA07D7"/>
    <w:rsid w:val="00DB5B48"/>
    <w:rsid w:val="00E03E21"/>
    <w:rsid w:val="00E0418B"/>
    <w:rsid w:val="00E135A5"/>
    <w:rsid w:val="00E6653B"/>
    <w:rsid w:val="00E75FCF"/>
    <w:rsid w:val="00E850E5"/>
    <w:rsid w:val="00EB4A33"/>
    <w:rsid w:val="00ED7EDA"/>
    <w:rsid w:val="00F20378"/>
    <w:rsid w:val="00F2567B"/>
    <w:rsid w:val="00F27D3E"/>
    <w:rsid w:val="00F72482"/>
    <w:rsid w:val="00F82B10"/>
    <w:rsid w:val="00FB2258"/>
    <w:rsid w:val="00FC2027"/>
    <w:rsid w:val="00FD5EB5"/>
    <w:rsid w:val="00FE4DAF"/>
    <w:rsid w:val="00FF3B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1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F08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8F08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4">
    <w:name w:val="heading 4"/>
    <w:basedOn w:val="Standaard"/>
    <w:next w:val="Standaard"/>
    <w:link w:val="Kop4Char"/>
    <w:uiPriority w:val="9"/>
    <w:semiHidden/>
    <w:unhideWhenUsed/>
    <w:qFormat/>
    <w:rsid w:val="008F08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F08EF"/>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8F08EF"/>
    <w:rPr>
      <w:rFonts w:asciiTheme="majorHAnsi" w:eastAsiaTheme="majorEastAsia" w:hAnsiTheme="majorHAnsi" w:cstheme="majorBidi"/>
      <w:b/>
      <w:bCs/>
      <w:color w:val="4F81BD" w:themeColor="accent1"/>
      <w:sz w:val="26"/>
      <w:szCs w:val="26"/>
    </w:rPr>
  </w:style>
  <w:style w:type="character" w:customStyle="1" w:styleId="Kop4Char">
    <w:name w:val="Kop 4 Char"/>
    <w:basedOn w:val="Standaardalinea-lettertype"/>
    <w:link w:val="Kop4"/>
    <w:uiPriority w:val="9"/>
    <w:semiHidden/>
    <w:rsid w:val="008F08EF"/>
    <w:rPr>
      <w:rFonts w:asciiTheme="majorHAnsi" w:eastAsiaTheme="majorEastAsia" w:hAnsiTheme="majorHAnsi" w:cstheme="majorBidi"/>
      <w:b/>
      <w:bCs/>
      <w:i/>
      <w:iCs/>
      <w:color w:val="4F81BD" w:themeColor="accent1"/>
    </w:rPr>
  </w:style>
  <w:style w:type="table" w:customStyle="1" w:styleId="Tabelraster1">
    <w:name w:val="Tabelraster1"/>
    <w:basedOn w:val="Standaardtabel"/>
    <w:next w:val="Tabelraster"/>
    <w:uiPriority w:val="59"/>
    <w:rsid w:val="006056CB"/>
    <w:pPr>
      <w:spacing w:after="0" w:line="240" w:lineRule="auto"/>
    </w:pPr>
    <w:rPr>
      <w:rFonts w:ascii="Cambria" w:eastAsia="MS Gothic"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605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60FB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60FB0"/>
    <w:rPr>
      <w:rFonts w:ascii="Tahoma" w:hAnsi="Tahoma" w:cs="Tahoma"/>
      <w:sz w:val="16"/>
      <w:szCs w:val="16"/>
    </w:rPr>
  </w:style>
  <w:style w:type="character" w:styleId="Hyperlink">
    <w:name w:val="Hyperlink"/>
    <w:basedOn w:val="Standaardalinea-lettertype"/>
    <w:uiPriority w:val="99"/>
    <w:unhideWhenUsed/>
    <w:rsid w:val="00075D8A"/>
    <w:rPr>
      <w:color w:val="0000FF" w:themeColor="hyperlink"/>
      <w:u w:val="single"/>
    </w:rPr>
  </w:style>
  <w:style w:type="character" w:styleId="Verwijzingopmerking">
    <w:name w:val="annotation reference"/>
    <w:basedOn w:val="Standaardalinea-lettertype"/>
    <w:uiPriority w:val="99"/>
    <w:semiHidden/>
    <w:unhideWhenUsed/>
    <w:rsid w:val="00A914E8"/>
    <w:rPr>
      <w:sz w:val="16"/>
      <w:szCs w:val="16"/>
    </w:rPr>
  </w:style>
  <w:style w:type="paragraph" w:styleId="Tekstopmerking">
    <w:name w:val="annotation text"/>
    <w:basedOn w:val="Standaard"/>
    <w:link w:val="TekstopmerkingChar"/>
    <w:uiPriority w:val="99"/>
    <w:semiHidden/>
    <w:unhideWhenUsed/>
    <w:rsid w:val="00A914E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914E8"/>
    <w:rPr>
      <w:sz w:val="20"/>
      <w:szCs w:val="20"/>
    </w:rPr>
  </w:style>
  <w:style w:type="paragraph" w:styleId="Onderwerpvanopmerking">
    <w:name w:val="annotation subject"/>
    <w:basedOn w:val="Tekstopmerking"/>
    <w:next w:val="Tekstopmerking"/>
    <w:link w:val="OnderwerpvanopmerkingChar"/>
    <w:uiPriority w:val="99"/>
    <w:semiHidden/>
    <w:unhideWhenUsed/>
    <w:rsid w:val="00A914E8"/>
    <w:rPr>
      <w:b/>
      <w:bCs/>
    </w:rPr>
  </w:style>
  <w:style w:type="character" w:customStyle="1" w:styleId="OnderwerpvanopmerkingChar">
    <w:name w:val="Onderwerp van opmerking Char"/>
    <w:basedOn w:val="TekstopmerkingChar"/>
    <w:link w:val="Onderwerpvanopmerking"/>
    <w:uiPriority w:val="99"/>
    <w:semiHidden/>
    <w:rsid w:val="00A914E8"/>
    <w:rPr>
      <w:b/>
      <w:bCs/>
      <w:sz w:val="20"/>
      <w:szCs w:val="20"/>
    </w:rPr>
  </w:style>
  <w:style w:type="paragraph" w:styleId="Lijstalinea">
    <w:name w:val="List Paragraph"/>
    <w:basedOn w:val="Standaard"/>
    <w:uiPriority w:val="34"/>
    <w:qFormat/>
    <w:rsid w:val="00FD5EB5"/>
    <w:pPr>
      <w:ind w:left="720"/>
      <w:contextualSpacing/>
    </w:pPr>
  </w:style>
  <w:style w:type="paragraph" w:styleId="Revisie">
    <w:name w:val="Revision"/>
    <w:hidden/>
    <w:uiPriority w:val="99"/>
    <w:semiHidden/>
    <w:rsid w:val="00B3355E"/>
    <w:pPr>
      <w:spacing w:after="0" w:line="240" w:lineRule="auto"/>
    </w:pPr>
  </w:style>
  <w:style w:type="paragraph" w:styleId="Koptekst">
    <w:name w:val="header"/>
    <w:basedOn w:val="Standaard"/>
    <w:link w:val="KoptekstChar"/>
    <w:uiPriority w:val="99"/>
    <w:unhideWhenUsed/>
    <w:rsid w:val="00B3355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3355E"/>
  </w:style>
  <w:style w:type="paragraph" w:styleId="Voettekst">
    <w:name w:val="footer"/>
    <w:basedOn w:val="Standaard"/>
    <w:link w:val="VoettekstChar"/>
    <w:uiPriority w:val="99"/>
    <w:unhideWhenUsed/>
    <w:rsid w:val="00B335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3355E"/>
  </w:style>
  <w:style w:type="character" w:customStyle="1" w:styleId="UnresolvedMention">
    <w:name w:val="Unresolved Mention"/>
    <w:basedOn w:val="Standaardalinea-lettertype"/>
    <w:uiPriority w:val="99"/>
    <w:semiHidden/>
    <w:unhideWhenUsed/>
    <w:rsid w:val="003777FA"/>
    <w:rPr>
      <w:color w:val="605E5C"/>
      <w:shd w:val="clear" w:color="auto" w:fill="E1DFDD"/>
    </w:rPr>
  </w:style>
  <w:style w:type="paragraph" w:styleId="Voetnoottekst">
    <w:name w:val="footnote text"/>
    <w:basedOn w:val="Standaard"/>
    <w:link w:val="VoetnoottekstChar"/>
    <w:uiPriority w:val="99"/>
    <w:semiHidden/>
    <w:unhideWhenUsed/>
    <w:rsid w:val="00BF23B1"/>
    <w:pPr>
      <w:spacing w:after="0" w:line="240" w:lineRule="auto"/>
    </w:pPr>
    <w:rPr>
      <w:rFonts w:asciiTheme="majorHAnsi" w:hAnsiTheme="majorHAnsi"/>
      <w:sz w:val="20"/>
      <w:szCs w:val="20"/>
    </w:rPr>
  </w:style>
  <w:style w:type="character" w:customStyle="1" w:styleId="VoetnoottekstChar">
    <w:name w:val="Voetnoottekst Char"/>
    <w:basedOn w:val="Standaardalinea-lettertype"/>
    <w:link w:val="Voetnoottekst"/>
    <w:uiPriority w:val="99"/>
    <w:semiHidden/>
    <w:rsid w:val="00BF23B1"/>
    <w:rPr>
      <w:rFonts w:asciiTheme="majorHAnsi" w:hAnsiTheme="majorHAnsi"/>
      <w:sz w:val="20"/>
      <w:szCs w:val="20"/>
    </w:rPr>
  </w:style>
  <w:style w:type="character" w:styleId="Voetnootmarkering">
    <w:name w:val="footnote reference"/>
    <w:basedOn w:val="Standaardalinea-lettertype"/>
    <w:uiPriority w:val="99"/>
    <w:semiHidden/>
    <w:unhideWhenUsed/>
    <w:rsid w:val="00BF23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F08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8F08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4">
    <w:name w:val="heading 4"/>
    <w:basedOn w:val="Standaard"/>
    <w:next w:val="Standaard"/>
    <w:link w:val="Kop4Char"/>
    <w:uiPriority w:val="9"/>
    <w:semiHidden/>
    <w:unhideWhenUsed/>
    <w:qFormat/>
    <w:rsid w:val="008F08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F08EF"/>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8F08EF"/>
    <w:rPr>
      <w:rFonts w:asciiTheme="majorHAnsi" w:eastAsiaTheme="majorEastAsia" w:hAnsiTheme="majorHAnsi" w:cstheme="majorBidi"/>
      <w:b/>
      <w:bCs/>
      <w:color w:val="4F81BD" w:themeColor="accent1"/>
      <w:sz w:val="26"/>
      <w:szCs w:val="26"/>
    </w:rPr>
  </w:style>
  <w:style w:type="character" w:customStyle="1" w:styleId="Kop4Char">
    <w:name w:val="Kop 4 Char"/>
    <w:basedOn w:val="Standaardalinea-lettertype"/>
    <w:link w:val="Kop4"/>
    <w:uiPriority w:val="9"/>
    <w:semiHidden/>
    <w:rsid w:val="008F08EF"/>
    <w:rPr>
      <w:rFonts w:asciiTheme="majorHAnsi" w:eastAsiaTheme="majorEastAsia" w:hAnsiTheme="majorHAnsi" w:cstheme="majorBidi"/>
      <w:b/>
      <w:bCs/>
      <w:i/>
      <w:iCs/>
      <w:color w:val="4F81BD" w:themeColor="accent1"/>
    </w:rPr>
  </w:style>
  <w:style w:type="table" w:customStyle="1" w:styleId="Tabelraster1">
    <w:name w:val="Tabelraster1"/>
    <w:basedOn w:val="Standaardtabel"/>
    <w:next w:val="Tabelraster"/>
    <w:uiPriority w:val="59"/>
    <w:rsid w:val="006056CB"/>
    <w:pPr>
      <w:spacing w:after="0" w:line="240" w:lineRule="auto"/>
    </w:pPr>
    <w:rPr>
      <w:rFonts w:ascii="Cambria" w:eastAsia="MS Gothic"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605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60FB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60FB0"/>
    <w:rPr>
      <w:rFonts w:ascii="Tahoma" w:hAnsi="Tahoma" w:cs="Tahoma"/>
      <w:sz w:val="16"/>
      <w:szCs w:val="16"/>
    </w:rPr>
  </w:style>
  <w:style w:type="character" w:styleId="Hyperlink">
    <w:name w:val="Hyperlink"/>
    <w:basedOn w:val="Standaardalinea-lettertype"/>
    <w:uiPriority w:val="99"/>
    <w:unhideWhenUsed/>
    <w:rsid w:val="00075D8A"/>
    <w:rPr>
      <w:color w:val="0000FF" w:themeColor="hyperlink"/>
      <w:u w:val="single"/>
    </w:rPr>
  </w:style>
  <w:style w:type="character" w:styleId="Verwijzingopmerking">
    <w:name w:val="annotation reference"/>
    <w:basedOn w:val="Standaardalinea-lettertype"/>
    <w:uiPriority w:val="99"/>
    <w:semiHidden/>
    <w:unhideWhenUsed/>
    <w:rsid w:val="00A914E8"/>
    <w:rPr>
      <w:sz w:val="16"/>
      <w:szCs w:val="16"/>
    </w:rPr>
  </w:style>
  <w:style w:type="paragraph" w:styleId="Tekstopmerking">
    <w:name w:val="annotation text"/>
    <w:basedOn w:val="Standaard"/>
    <w:link w:val="TekstopmerkingChar"/>
    <w:uiPriority w:val="99"/>
    <w:semiHidden/>
    <w:unhideWhenUsed/>
    <w:rsid w:val="00A914E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914E8"/>
    <w:rPr>
      <w:sz w:val="20"/>
      <w:szCs w:val="20"/>
    </w:rPr>
  </w:style>
  <w:style w:type="paragraph" w:styleId="Onderwerpvanopmerking">
    <w:name w:val="annotation subject"/>
    <w:basedOn w:val="Tekstopmerking"/>
    <w:next w:val="Tekstopmerking"/>
    <w:link w:val="OnderwerpvanopmerkingChar"/>
    <w:uiPriority w:val="99"/>
    <w:semiHidden/>
    <w:unhideWhenUsed/>
    <w:rsid w:val="00A914E8"/>
    <w:rPr>
      <w:b/>
      <w:bCs/>
    </w:rPr>
  </w:style>
  <w:style w:type="character" w:customStyle="1" w:styleId="OnderwerpvanopmerkingChar">
    <w:name w:val="Onderwerp van opmerking Char"/>
    <w:basedOn w:val="TekstopmerkingChar"/>
    <w:link w:val="Onderwerpvanopmerking"/>
    <w:uiPriority w:val="99"/>
    <w:semiHidden/>
    <w:rsid w:val="00A914E8"/>
    <w:rPr>
      <w:b/>
      <w:bCs/>
      <w:sz w:val="20"/>
      <w:szCs w:val="20"/>
    </w:rPr>
  </w:style>
  <w:style w:type="paragraph" w:styleId="Lijstalinea">
    <w:name w:val="List Paragraph"/>
    <w:basedOn w:val="Standaard"/>
    <w:uiPriority w:val="34"/>
    <w:qFormat/>
    <w:rsid w:val="00FD5EB5"/>
    <w:pPr>
      <w:ind w:left="720"/>
      <w:contextualSpacing/>
    </w:pPr>
  </w:style>
  <w:style w:type="paragraph" w:styleId="Revisie">
    <w:name w:val="Revision"/>
    <w:hidden/>
    <w:uiPriority w:val="99"/>
    <w:semiHidden/>
    <w:rsid w:val="00B3355E"/>
    <w:pPr>
      <w:spacing w:after="0" w:line="240" w:lineRule="auto"/>
    </w:pPr>
  </w:style>
  <w:style w:type="paragraph" w:styleId="Koptekst">
    <w:name w:val="header"/>
    <w:basedOn w:val="Standaard"/>
    <w:link w:val="KoptekstChar"/>
    <w:uiPriority w:val="99"/>
    <w:unhideWhenUsed/>
    <w:rsid w:val="00B3355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3355E"/>
  </w:style>
  <w:style w:type="paragraph" w:styleId="Voettekst">
    <w:name w:val="footer"/>
    <w:basedOn w:val="Standaard"/>
    <w:link w:val="VoettekstChar"/>
    <w:uiPriority w:val="99"/>
    <w:unhideWhenUsed/>
    <w:rsid w:val="00B335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3355E"/>
  </w:style>
  <w:style w:type="character" w:customStyle="1" w:styleId="UnresolvedMention">
    <w:name w:val="Unresolved Mention"/>
    <w:basedOn w:val="Standaardalinea-lettertype"/>
    <w:uiPriority w:val="99"/>
    <w:semiHidden/>
    <w:unhideWhenUsed/>
    <w:rsid w:val="003777FA"/>
    <w:rPr>
      <w:color w:val="605E5C"/>
      <w:shd w:val="clear" w:color="auto" w:fill="E1DFDD"/>
    </w:rPr>
  </w:style>
  <w:style w:type="paragraph" w:styleId="Voetnoottekst">
    <w:name w:val="footnote text"/>
    <w:basedOn w:val="Standaard"/>
    <w:link w:val="VoetnoottekstChar"/>
    <w:uiPriority w:val="99"/>
    <w:semiHidden/>
    <w:unhideWhenUsed/>
    <w:rsid w:val="00BF23B1"/>
    <w:pPr>
      <w:spacing w:after="0" w:line="240" w:lineRule="auto"/>
    </w:pPr>
    <w:rPr>
      <w:rFonts w:asciiTheme="majorHAnsi" w:hAnsiTheme="majorHAnsi"/>
      <w:sz w:val="20"/>
      <w:szCs w:val="20"/>
    </w:rPr>
  </w:style>
  <w:style w:type="character" w:customStyle="1" w:styleId="VoetnoottekstChar">
    <w:name w:val="Voetnoottekst Char"/>
    <w:basedOn w:val="Standaardalinea-lettertype"/>
    <w:link w:val="Voetnoottekst"/>
    <w:uiPriority w:val="99"/>
    <w:semiHidden/>
    <w:rsid w:val="00BF23B1"/>
    <w:rPr>
      <w:rFonts w:asciiTheme="majorHAnsi" w:hAnsiTheme="majorHAnsi"/>
      <w:sz w:val="20"/>
      <w:szCs w:val="20"/>
    </w:rPr>
  </w:style>
  <w:style w:type="character" w:styleId="Voetnootmarkering">
    <w:name w:val="footnote reference"/>
    <w:basedOn w:val="Standaardalinea-lettertype"/>
    <w:uiPriority w:val="99"/>
    <w:semiHidden/>
    <w:unhideWhenUsed/>
    <w:rsid w:val="00BF23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438468">
      <w:bodyDiv w:val="1"/>
      <w:marLeft w:val="0"/>
      <w:marRight w:val="0"/>
      <w:marTop w:val="0"/>
      <w:marBottom w:val="0"/>
      <w:divBdr>
        <w:top w:val="none" w:sz="0" w:space="0" w:color="auto"/>
        <w:left w:val="none" w:sz="0" w:space="0" w:color="auto"/>
        <w:bottom w:val="none" w:sz="0" w:space="0" w:color="auto"/>
        <w:right w:val="none" w:sz="0" w:space="0" w:color="auto"/>
      </w:divBdr>
    </w:div>
    <w:div w:id="373428459">
      <w:bodyDiv w:val="1"/>
      <w:marLeft w:val="0"/>
      <w:marRight w:val="0"/>
      <w:marTop w:val="0"/>
      <w:marBottom w:val="0"/>
      <w:divBdr>
        <w:top w:val="none" w:sz="0" w:space="0" w:color="auto"/>
        <w:left w:val="none" w:sz="0" w:space="0" w:color="auto"/>
        <w:bottom w:val="none" w:sz="0" w:space="0" w:color="auto"/>
        <w:right w:val="none" w:sz="0" w:space="0" w:color="auto"/>
      </w:divBdr>
      <w:divsChild>
        <w:div w:id="1477987377">
          <w:marLeft w:val="0"/>
          <w:marRight w:val="0"/>
          <w:marTop w:val="0"/>
          <w:marBottom w:val="0"/>
          <w:divBdr>
            <w:top w:val="none" w:sz="0" w:space="0" w:color="auto"/>
            <w:left w:val="none" w:sz="0" w:space="0" w:color="auto"/>
            <w:bottom w:val="none" w:sz="0" w:space="0" w:color="auto"/>
            <w:right w:val="none" w:sz="0" w:space="0" w:color="auto"/>
          </w:divBdr>
          <w:divsChild>
            <w:div w:id="1561359390">
              <w:marLeft w:val="0"/>
              <w:marRight w:val="0"/>
              <w:marTop w:val="0"/>
              <w:marBottom w:val="0"/>
              <w:divBdr>
                <w:top w:val="none" w:sz="0" w:space="0" w:color="auto"/>
                <w:left w:val="none" w:sz="0" w:space="0" w:color="auto"/>
                <w:bottom w:val="none" w:sz="0" w:space="0" w:color="auto"/>
                <w:right w:val="none" w:sz="0" w:space="0" w:color="auto"/>
              </w:divBdr>
              <w:divsChild>
                <w:div w:id="647630157">
                  <w:marLeft w:val="0"/>
                  <w:marRight w:val="0"/>
                  <w:marTop w:val="120"/>
                  <w:marBottom w:val="0"/>
                  <w:divBdr>
                    <w:top w:val="none" w:sz="0" w:space="0" w:color="auto"/>
                    <w:left w:val="none" w:sz="0" w:space="0" w:color="auto"/>
                    <w:bottom w:val="none" w:sz="0" w:space="0" w:color="auto"/>
                    <w:right w:val="none" w:sz="0" w:space="0" w:color="auto"/>
                  </w:divBdr>
                  <w:divsChild>
                    <w:div w:id="1712459808">
                      <w:marLeft w:val="0"/>
                      <w:marRight w:val="0"/>
                      <w:marTop w:val="0"/>
                      <w:marBottom w:val="0"/>
                      <w:divBdr>
                        <w:top w:val="none" w:sz="0" w:space="0" w:color="auto"/>
                        <w:left w:val="none" w:sz="0" w:space="0" w:color="auto"/>
                        <w:bottom w:val="none" w:sz="0" w:space="0" w:color="auto"/>
                        <w:right w:val="none" w:sz="0" w:space="0" w:color="auto"/>
                      </w:divBdr>
                      <w:divsChild>
                        <w:div w:id="97734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98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98422-DA15-4A4B-8841-E31C74461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1312</Words>
  <Characters>7219</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Zorgvliet</Company>
  <LinksUpToDate>false</LinksUpToDate>
  <CharactersWithSpaces>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Vergeer</dc:creator>
  <cp:lastModifiedBy>Vergeer</cp:lastModifiedBy>
  <cp:revision>3</cp:revision>
  <cp:lastPrinted>2020-07-28T08:23:00Z</cp:lastPrinted>
  <dcterms:created xsi:type="dcterms:W3CDTF">2023-02-20T21:44:00Z</dcterms:created>
  <dcterms:modified xsi:type="dcterms:W3CDTF">2023-02-20T21:57:00Z</dcterms:modified>
</cp:coreProperties>
</file>